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7" w:rsidRPr="00A50319" w:rsidRDefault="002312D7" w:rsidP="002312D7">
      <w:pPr>
        <w:pStyle w:val="CTtolexpedient"/>
        <w:rPr>
          <w:rStyle w:val="ECNormal"/>
          <w:lang w:eastAsia="es-ES"/>
        </w:rPr>
      </w:pPr>
      <w:bookmarkStart w:id="0" w:name="_GoBack"/>
      <w:bookmarkEnd w:id="0"/>
      <w:r w:rsidRPr="00A50319">
        <w:rPr>
          <w:rStyle w:val="ECNormal"/>
          <w:lang w:eastAsia="es-ES"/>
        </w:rPr>
        <w:t>Moció 159/X del Parlament de Catalunya, sobre l’atenció primària de salut</w:t>
      </w:r>
    </w:p>
    <w:p w:rsidR="002312D7" w:rsidRPr="00A50319" w:rsidRDefault="002312D7" w:rsidP="002312D7">
      <w:pPr>
        <w:pStyle w:val="CTramnm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Tram. 302-00221/10</w:t>
      </w:r>
    </w:p>
    <w:p w:rsidR="002312D7" w:rsidRPr="00A50319" w:rsidRDefault="002312D7" w:rsidP="002312D7">
      <w:pPr>
        <w:pStyle w:val="CTrmitdades"/>
        <w:rPr>
          <w:rStyle w:val="ECNormal"/>
          <w:lang w:eastAsia="es-ES"/>
        </w:rPr>
      </w:pPr>
    </w:p>
    <w:p w:rsidR="002312D7" w:rsidRPr="00A50319" w:rsidRDefault="002312D7" w:rsidP="002312D7">
      <w:pPr>
        <w:pStyle w:val="CTrmit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Aprovació</w:t>
      </w:r>
    </w:p>
    <w:p w:rsidR="002312D7" w:rsidRPr="00A50319" w:rsidRDefault="002312D7" w:rsidP="002312D7">
      <w:pPr>
        <w:pStyle w:val="CTrmitdades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Ple del Parlament</w:t>
      </w:r>
    </w:p>
    <w:p w:rsidR="002312D7" w:rsidRPr="00A50319" w:rsidRDefault="002312D7" w:rsidP="002312D7">
      <w:pPr>
        <w:pStyle w:val="CTrmitdades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Sessió 45, 27.11.2014, DSPC-P 87</w:t>
      </w:r>
    </w:p>
    <w:p w:rsidR="002312D7" w:rsidRDefault="002312D7" w:rsidP="002312D7">
      <w:pPr>
        <w:pStyle w:val="CTramnm"/>
        <w:rPr>
          <w:rStyle w:val="ECNormal"/>
          <w:lang w:eastAsia="es-ES"/>
        </w:rPr>
      </w:pPr>
      <w:r>
        <w:rPr>
          <w:rStyle w:val="ECNormal"/>
          <w:lang w:eastAsia="es-ES"/>
        </w:rPr>
        <w:t>Publicació: BOPC 440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El Ple del Parlament, en la sessió tinguda el 27 de novembre de 2014, d’acord amb l’article 139 del Reglament, ha debatut la M</w:t>
      </w:r>
      <w:r w:rsidRPr="00A50319">
        <w:rPr>
          <w:rStyle w:val="ECNormal"/>
          <w:lang w:eastAsia="es-ES"/>
        </w:rPr>
        <w:t>o</w:t>
      </w:r>
      <w:r w:rsidRPr="00A50319">
        <w:rPr>
          <w:rStyle w:val="ECNormal"/>
          <w:lang w:eastAsia="es-ES"/>
        </w:rPr>
        <w:t>ció subsegüent a la interpel·lació al Govern sobre l’atenció primària de salut (tram. 302-00221/10), presentada per la diputada Núria Segú Ferré, del Grup Parlamentari Socialista, i les esmenes presentades pel Grup Parlamentari de Ciutadans (reg. 93240), pel Grup Parlamentari d’Iniciativa per Catalunya Verds - Esquerra Unida i Alternativa (reg. 94414), pel Grup Parlamentari del Partit Popular de Catalunya (reg. 94458), pel Grup Parlamentari d’Esquerra Republicana de Catalunya (reg. 94463) i pel Grup Parlamentari de Convergència i Unió (reg. 94684).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Finalment, d’acord amb el que estableix l’article 139 del Reglament, ha aprovat la següent</w:t>
      </w:r>
    </w:p>
    <w:p w:rsidR="002312D7" w:rsidRPr="00A50319" w:rsidRDefault="002312D7" w:rsidP="002312D7">
      <w:pPr>
        <w:pStyle w:val="NTtolsecundari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Moció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1. El Parlament de Catalunya constata la necessitat de reforçar l’atenció primària i comunitària com a element nuclear del sistema sanitari i més proper al ciutadà, per a donar resposta a gran part de les necessitats en salut de la població, dotant-la de més capac</w:t>
      </w:r>
      <w:r w:rsidRPr="00A50319">
        <w:rPr>
          <w:rStyle w:val="ECNormal"/>
          <w:lang w:eastAsia="es-ES"/>
        </w:rPr>
        <w:t>i</w:t>
      </w:r>
      <w:r w:rsidRPr="00A50319">
        <w:rPr>
          <w:rStyle w:val="ECNormal"/>
          <w:lang w:eastAsia="es-ES"/>
        </w:rPr>
        <w:t>tat resolutiva –serveis d’atenció especialitzada i proves diagnòstiques–, i com a gestora de fluxos i facilitadora de la continuïtat assi</w:t>
      </w:r>
      <w:r w:rsidRPr="00A50319">
        <w:rPr>
          <w:rStyle w:val="ECNormal"/>
          <w:lang w:eastAsia="es-ES"/>
        </w:rPr>
        <w:t>s</w:t>
      </w:r>
      <w:r w:rsidRPr="00A50319">
        <w:rPr>
          <w:rStyle w:val="ECNormal"/>
          <w:lang w:eastAsia="es-ES"/>
        </w:rPr>
        <w:t>tencial amb altres serveis sanitaris i socials.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2. El Parlament de Catalunya, en el marc del desplegament del Pla de salut de Catalunya 2011-2015 i en la línia del que establia el Pla d’innovació de l’atenció primària i salut comunitària del 2007 i de l’aplicació comunitària de tots els plans directors, insta el Govern a: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a) Concretar la cartera de salut pública, liderada des de l’atenció primària, en els centres de salut mateixos i en la comunitat –centres educatius, de lleure, socials i cívics, entre altres.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b) Atorgar al metge de família els instruments diagnòstics necessaris dels processos del seu àmbit assistencial i el seguiment dels processos de trànsit entre nivells assistencials, de manera que es garanteixi que no se superin els temps d’espera màxims.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c) Definir el paper de la infermeria en l’atenció primària, de manera que li permeti exercir el lideratge dels projectes comunitaris, prestar l’atenció dels programes de salut adreçats a infants i adults i fer el seguiment dels malalts crònics, i començar també la prova pilot de prescripció infermera de determinats grups de medicaments que caldrà determinar amb relació a la seva tasca.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d) Atorgar a l’atenció primària la responsabilitat del seguiment i control dels pacients crònics. Els infermers d’atenció primària lideraran el seguiment d’aquests pacients crònics també en el cas d’ingrés des dels centres de salut als centres sociosanitaris i de salut mental, especialment de pacients fràgils i amb malalties cròniques reaguditzades, amb la garantia que el programa d’atenció al pacient crònic no comporti pèrdua de personal d’atenció primària.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e) Generalitzar a tot el territori de Catalunya el model de coordinació i suport en tota l’atenció primària a les patologies mental, osteoarticular i oftalmològica, en un termini màxim de dos anys.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f) Generalitzar progressivament a tot el territori de Catalunya els models de suport específic i expert en l’atenció primària de salut, en els aspectes relacionats amb l’atenció de l’estat nutricional dels pacients i l’atenció fisioterapèutica, i definir-ne un model d’atenció.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g) Presentar-li, en el termini de tres mesos, una proposta que estableixi quines són les especialitats tributàries de participar en el model de suport a fi de resoldre amb els professionals de l’atenció primària la major part dels problemes de salut. Aquesta pr</w:t>
      </w:r>
      <w:r w:rsidRPr="00A50319">
        <w:rPr>
          <w:rStyle w:val="ECNormal"/>
          <w:lang w:eastAsia="es-ES"/>
        </w:rPr>
        <w:t>o</w:t>
      </w:r>
      <w:r w:rsidRPr="00A50319">
        <w:rPr>
          <w:rStyle w:val="ECNormal"/>
          <w:lang w:eastAsia="es-ES"/>
        </w:rPr>
        <w:t>posta ha d’incorporar-ne una altra de desplegament d’especialistes itinerants que es basi en les necessitats de la població d’acord amb la piràmide d’edat de les àrees bàsiques de salut.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h) Establir un sistema de col·laboració i integració entre els professionals de l’atenció primària i els especialistes de l’hospital de referència, de manera que permeti i faciliti l’intercanvi d’experiències i la </w:t>
      </w:r>
      <w:r w:rsidRPr="00A50319">
        <w:rPr>
          <w:rStyle w:val="ECNormal"/>
          <w:lang w:eastAsia="es-ES"/>
        </w:rPr>
        <w:lastRenderedPageBreak/>
        <w:t>valoració conjunta de casos i que, d’una manera peri</w:t>
      </w:r>
      <w:r w:rsidRPr="00A50319">
        <w:rPr>
          <w:rStyle w:val="ECNormal"/>
          <w:lang w:eastAsia="es-ES"/>
        </w:rPr>
        <w:t>ò</w:t>
      </w:r>
      <w:r w:rsidRPr="00A50319">
        <w:rPr>
          <w:rStyle w:val="ECNormal"/>
          <w:lang w:eastAsia="es-ES"/>
        </w:rPr>
        <w:t>dica, regular i programada, els professionals de l’atenció primària puguin participar en les sessions clíniques i en les activitats form</w:t>
      </w:r>
      <w:r w:rsidRPr="00A50319">
        <w:rPr>
          <w:rStyle w:val="ECNormal"/>
          <w:lang w:eastAsia="es-ES"/>
        </w:rPr>
        <w:t>a</w:t>
      </w:r>
      <w:r w:rsidRPr="00A50319">
        <w:rPr>
          <w:rStyle w:val="ECNormal"/>
          <w:lang w:eastAsia="es-ES"/>
        </w:rPr>
        <w:t>tives i de recerca de l’hospital de referència respectiu.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i) Generalitzar progressivament, en el marc de la implantació de les tecnologies de la informació i la comunicació en l’atenció primària, en tot el territori de Catalunya, la teledermatologia i la teleoftalmologia, i desenvolupar en els propers dos anys la gen</w:t>
      </w:r>
      <w:r w:rsidRPr="00A50319">
        <w:rPr>
          <w:rStyle w:val="ECNormal"/>
          <w:lang w:eastAsia="es-ES"/>
        </w:rPr>
        <w:t>e</w:t>
      </w:r>
      <w:r w:rsidRPr="00A50319">
        <w:rPr>
          <w:rStyle w:val="ECNormal"/>
          <w:lang w:eastAsia="es-ES"/>
        </w:rPr>
        <w:t>ralització de les consultes telemàtiques en els àmbits d’atenció en què això sigui possible. Aquest tipus de consulta ha d’incrementar la resolució dels problemes de salut en temps i qualitat i no ha de substituir l’atenció especialitzada presencial en els casos en què es requereixi.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j) Generalitzar i ampliar, per tal d’atendre tota la demanda, el Programa pacient expert Catalunya.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k) Adoptar les mesures necessàries per tal que: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1r. En casos aguts, els ciutadans siguin atesos per l’equip de salut o els professionals de referència corresponents el mateix dia que sol·licitin l’atenció, sense cap excepció per motiu de la condició administrativa de la persona que la sol·licita.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2n. S’estableixi en l’atenció primària un termini de referència de quaranta-vuit hores d’espera en visites programades per a ésser atès pel metge de família, per l’infermer i pel pediatre de referència.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3. El Parlament de Catalunya insta el Govern a: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a) Continuar desplegant el nou model de farmàcia comunitària, des del punt de vista de la cartera de serveis preventius assistenc</w:t>
      </w:r>
      <w:r w:rsidRPr="00A50319">
        <w:rPr>
          <w:rStyle w:val="ECNormal"/>
          <w:lang w:eastAsia="es-ES"/>
        </w:rPr>
        <w:t>i</w:t>
      </w:r>
      <w:r w:rsidRPr="00A50319">
        <w:rPr>
          <w:rStyle w:val="ECNormal"/>
          <w:lang w:eastAsia="es-ES"/>
        </w:rPr>
        <w:t>als i del nou model de pagament i de gestió del medicament i altres productes.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b) Revisar la normativa sobre horaris d’atenció al públic, serveis d’urgència i vacances de les oficines de farmàcia per tal de g</w:t>
      </w:r>
      <w:r w:rsidRPr="00A50319">
        <w:rPr>
          <w:rStyle w:val="ECNormal"/>
          <w:lang w:eastAsia="es-ES"/>
        </w:rPr>
        <w:t>a</w:t>
      </w:r>
      <w:r w:rsidRPr="00A50319">
        <w:rPr>
          <w:rStyle w:val="ECNormal"/>
          <w:lang w:eastAsia="es-ES"/>
        </w:rPr>
        <w:t>rantir l’atenció farmacèutica, ampliant-ne al màxim la cobertura horària d’acord amb els municipis afectats per reduccions horàr</w:t>
      </w:r>
      <w:r w:rsidRPr="00A50319">
        <w:rPr>
          <w:rStyle w:val="ECNormal"/>
          <w:lang w:eastAsia="es-ES"/>
        </w:rPr>
        <w:t>i</w:t>
      </w:r>
      <w:r w:rsidRPr="00A50319">
        <w:rPr>
          <w:rStyle w:val="ECNormal"/>
          <w:lang w:eastAsia="es-ES"/>
        </w:rPr>
        <w:t>es de centres d’atenció primària, i revisar també els horaris d’atenció primària i l’avaluació dels serveis d’urgència nocturns de les àrees bàsiques de salut.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c) Assignar en el Projecte de llei de pressupostos de la Generalitat per al 2015, a cada àrea bàsica de salut, d’acord amb el sistema capitatiu, una dotació econòmica suficient que permeti garantir, amb qualitat i equitat, el catàleg de prestacions de l’atenció pr</w:t>
      </w:r>
      <w:r w:rsidRPr="00A50319">
        <w:rPr>
          <w:rStyle w:val="ECNormal"/>
          <w:lang w:eastAsia="es-ES"/>
        </w:rPr>
        <w:t>i</w:t>
      </w:r>
      <w:r w:rsidRPr="00A50319">
        <w:rPr>
          <w:rStyle w:val="ECNormal"/>
          <w:lang w:eastAsia="es-ES"/>
        </w:rPr>
        <w:t>mària i comunitària. S’hi han d’establir d’una manera progressiva les partides finalistes necessàries de les proves complementàries i les visites a especialistes per a garantir els temps màxims que estableixi el nou decret de modificació del Decret 354/2002, i s’hi han d’addicionar també els recursos econòmics i concretar els circuits de derivació que permetin l’ingrés directe de pacients cr</w:t>
      </w:r>
      <w:r w:rsidRPr="00A50319">
        <w:rPr>
          <w:rStyle w:val="ECNormal"/>
          <w:lang w:eastAsia="es-ES"/>
        </w:rPr>
        <w:t>ò</w:t>
      </w:r>
      <w:r w:rsidRPr="00A50319">
        <w:rPr>
          <w:rStyle w:val="ECNormal"/>
          <w:lang w:eastAsia="es-ES"/>
        </w:rPr>
        <w:t>nics subaguts als centres sociosanitaris.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d) Incrementar el pes relatiu del pressupost d’atenció primària sobre el total del pressupost en salut fins a arribar al nivell del 2010 en un màxim de tres anys.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e) Presentar-li, en el termini de tres mesos, un pla d’inversions 2015-2022 de centres d’atenció primària que prioritzi les invers</w:t>
      </w:r>
      <w:r w:rsidRPr="00A50319">
        <w:rPr>
          <w:rStyle w:val="ECNormal"/>
          <w:lang w:eastAsia="es-ES"/>
        </w:rPr>
        <w:t>i</w:t>
      </w:r>
      <w:r w:rsidRPr="00A50319">
        <w:rPr>
          <w:rStyle w:val="ECNormal"/>
          <w:lang w:eastAsia="es-ES"/>
        </w:rPr>
        <w:t>ons compromeses en anteriors plans d’inversions per tal de garantir que aquestes es mantinguin i garantir també la millora de les infr</w:t>
      </w:r>
      <w:r w:rsidRPr="00A50319">
        <w:rPr>
          <w:rStyle w:val="ECNormal"/>
          <w:lang w:eastAsia="es-ES"/>
        </w:rPr>
        <w:t>a</w:t>
      </w:r>
      <w:r w:rsidRPr="00A50319">
        <w:rPr>
          <w:rStyle w:val="ECNormal"/>
          <w:lang w:eastAsia="es-ES"/>
        </w:rPr>
        <w:t>estructures, la renovació tecnològica i la incorporació de noves tecnologies.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4. El Parlament de Catalunya, amb relació als concursos convocats per a la contractació de la gestió dels serveis sanitaris d’atenció primària en l’àmbit de les àrees bàsiques de salut de l’Escala, l’Alt Camp Oest, Barcelona 3A i Vic 2 Sud – en el cas concret de les àrees bàsiques de salut de l’Escala i de l’Alt Camp Oest s’hi ha presentat més d’un licitador–, insta el Govern a anul·lar la resolució d’aprovació del quadre de característiques dels concursos per tal que se’n modifiquin els continguts d’acord amb la Moció 3/X del Parlament de Catalunya, sobre les polítiques de salut, i, especialment, pel que fa referència a: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a) Els plecs de condicions, per tal que la solvència tècnica s’adeqüi a l’objecte del contracte, és a dir, a la gestió de serveis d’atenció primària.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b) Els criteris de valoració subjectius, d’acord amb el contingut de l’informe relatiu a la Moció 3/X del Grup de Treball sobre Contractació Pública, respecte als criteris de valoració de l’autonomia de gestió, organitzatius i corporatius amb un ús de la fó</w:t>
      </w:r>
      <w:r w:rsidRPr="00A50319">
        <w:rPr>
          <w:rStyle w:val="ECNormal"/>
          <w:lang w:eastAsia="es-ES"/>
        </w:rPr>
        <w:t>r</w:t>
      </w:r>
      <w:r w:rsidRPr="00A50319">
        <w:rPr>
          <w:rStyle w:val="ECNormal"/>
          <w:lang w:eastAsia="es-ES"/>
        </w:rPr>
        <w:t>mula «fins a un màxim d’X punts» per a assignar puntuació a cada criteri i subcriteri.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5. El Parlament de Catalunya insta el Govern a garantir, en qualsevol cas, pel que fa referència al punt 4: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lastRenderedPageBreak/>
        <w:t>a) Els serveis essencials que es presten als usuaris de la xarxa pública, de manera que no hi hagi pèrdua d’equitat en l’accés ni di</w:t>
      </w:r>
      <w:r w:rsidRPr="00A50319">
        <w:rPr>
          <w:rStyle w:val="ECNormal"/>
          <w:lang w:eastAsia="es-ES"/>
        </w:rPr>
        <w:t>s</w:t>
      </w:r>
      <w:r w:rsidRPr="00A50319">
        <w:rPr>
          <w:rStyle w:val="ECNormal"/>
          <w:lang w:eastAsia="es-ES"/>
        </w:rPr>
        <w:t>minució en la qualitat dels serveis, com ara els d’urgències, l’assistència domiciliària i els serveis d’especialitats, i de manera que la medicació dels pacients no es redueixi seguint criteris d’estalvi econòmic.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b) La mateixa qualitat assistencial i el mateix nombre de professionals.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6. El Parlament de Catalunya insta el Govern a evitar la convocatòria de concursos públics per a la gestió de les àrees bàsiques de salut que actualment estan en règim de concessió quan fineixin aquestes concessions, aplicant i desplegant les mesures previstes en l’informe relatiu a la Moció 3/X del Parlament de Catalunya del Grup de Treball sobre Contractació Pública.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 xml:space="preserve">7. El Parlament de Catalunya insta el Govern a elaborar un informe sobre el nombre d’àrees bàsiques de salut que estan sotmeses a processos de concurs, en què se n’indiqui la data de venciment i s’estudiïn les diferents alternatives per a evitar que el servei d’atenció primària surti a concurs, tenint present i respectant la disposició addicional desena de la Llei 15/1990, del 9 de juliol, d’ordenació sanitària de Catalunya, per mitjà de: 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a) L’aplicació del concepte que apareix en la Llei de contractes del sector públic «mitjà propi», «assimilat» o entitats de base m</w:t>
      </w:r>
      <w:r w:rsidRPr="00A50319">
        <w:rPr>
          <w:rStyle w:val="ECNormal"/>
          <w:lang w:eastAsia="es-ES"/>
        </w:rPr>
        <w:t>u</w:t>
      </w:r>
      <w:r w:rsidRPr="00A50319">
        <w:rPr>
          <w:rStyle w:val="ECNormal"/>
          <w:lang w:eastAsia="es-ES"/>
        </w:rPr>
        <w:t>nicipalista per a centres de titularitat pública, impulsant els canvis necessaris.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b) El desplegament del Decret 196/2010, del 14 de desembre, del sistema sanitari integral d’utilització pública de Catalunya (Si</w:t>
      </w:r>
      <w:r w:rsidRPr="00A50319">
        <w:rPr>
          <w:rStyle w:val="ECNormal"/>
          <w:lang w:eastAsia="es-ES"/>
        </w:rPr>
        <w:t>s</w:t>
      </w:r>
      <w:r w:rsidRPr="00A50319">
        <w:rPr>
          <w:rStyle w:val="ECNormal"/>
          <w:lang w:eastAsia="es-ES"/>
        </w:rPr>
        <w:t>cat), per tal de consolidar la xarxa d’atenció primària i comunitària.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8. El Parlament de Catalunya insta el Govern a impulsar els canvis legislatius i normatius necessaris, tant en l’àmbit de Catalunya com de l’Estat espanyol, per a evitar la convocatòria de concursos públics per a la gestió de les àrees bàsiques de salut. Prèvi</w:t>
      </w:r>
      <w:r w:rsidRPr="00A50319">
        <w:rPr>
          <w:rStyle w:val="ECNormal"/>
          <w:lang w:eastAsia="es-ES"/>
        </w:rPr>
        <w:t>a</w:t>
      </w:r>
      <w:r w:rsidRPr="00A50319">
        <w:rPr>
          <w:rStyle w:val="ECNormal"/>
          <w:lang w:eastAsia="es-ES"/>
        </w:rPr>
        <w:t>ment, s’ha d’iniciar un treball amb els agents del sector i els grups parlamentaris per a assolir el màxim consens, consens que s’ha de veure reflectit també al Parlament de Catalunya.</w:t>
      </w:r>
    </w:p>
    <w:p w:rsidR="002312D7" w:rsidRPr="00A50319" w:rsidRDefault="002312D7" w:rsidP="002312D7">
      <w:pPr>
        <w:pStyle w:val="NNormal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9. El Parlament de Catalunya insta el Govern a presentar, dins l’any 2015, a la Comissió de Salut d’aquest Parlament l’estudi sobre les possibilitats reals que les empreses públiques i els consorcis públics puguin gestionar equips d’atenció primària mitja</w:t>
      </w:r>
      <w:r w:rsidRPr="00A50319">
        <w:rPr>
          <w:rStyle w:val="ECNormal"/>
          <w:lang w:eastAsia="es-ES"/>
        </w:rPr>
        <w:t>n</w:t>
      </w:r>
      <w:r w:rsidRPr="00A50319">
        <w:rPr>
          <w:rStyle w:val="ECNormal"/>
          <w:lang w:eastAsia="es-ES"/>
        </w:rPr>
        <w:t>çant l’establiment d’aliances.</w:t>
      </w:r>
    </w:p>
    <w:p w:rsidR="002312D7" w:rsidRPr="00A50319" w:rsidRDefault="002312D7" w:rsidP="002312D7">
      <w:pPr>
        <w:pStyle w:val="PData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Palau del Parlament, 27 de novembre de 2014</w:t>
      </w:r>
    </w:p>
    <w:p w:rsidR="002312D7" w:rsidRPr="00A50319" w:rsidRDefault="002312D7" w:rsidP="002312D7">
      <w:pPr>
        <w:pStyle w:val="PSignatura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El secretari tercer</w:t>
      </w:r>
      <w:r w:rsidRPr="00A50319">
        <w:rPr>
          <w:rStyle w:val="ECNormal"/>
          <w:lang w:eastAsia="es-ES"/>
        </w:rPr>
        <w:tab/>
        <w:t>La presidenta</w:t>
      </w:r>
    </w:p>
    <w:p w:rsidR="002312D7" w:rsidRPr="00A50319" w:rsidRDefault="002312D7" w:rsidP="002312D7">
      <w:pPr>
        <w:pStyle w:val="PSignatura"/>
        <w:rPr>
          <w:rStyle w:val="ECNormal"/>
          <w:lang w:eastAsia="es-ES"/>
        </w:rPr>
      </w:pPr>
      <w:r w:rsidRPr="00A50319">
        <w:rPr>
          <w:rStyle w:val="ECNormal"/>
          <w:lang w:eastAsia="es-ES"/>
        </w:rPr>
        <w:t>Josep Rull i Andreu</w:t>
      </w:r>
      <w:r w:rsidRPr="00A50319">
        <w:rPr>
          <w:rStyle w:val="ECNormal"/>
          <w:lang w:eastAsia="es-ES"/>
        </w:rPr>
        <w:tab/>
        <w:t>Núria de Gispert i Català</w:t>
      </w:r>
    </w:p>
    <w:p w:rsidR="00BA2A51" w:rsidRPr="002312D7" w:rsidRDefault="00BA2A51" w:rsidP="002312D7"/>
    <w:sectPr w:rsidR="00BA2A51" w:rsidRPr="002312D7" w:rsidSect="003F6A8B">
      <w:headerReference w:type="default" r:id="rId9"/>
      <w:footerReference w:type="default" r:id="rId10"/>
      <w:pgSz w:w="11906" w:h="16838"/>
      <w:pgMar w:top="2552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D7" w:rsidRDefault="002312D7" w:rsidP="003F6A8B">
      <w:r>
        <w:separator/>
      </w:r>
    </w:p>
  </w:endnote>
  <w:endnote w:type="continuationSeparator" w:id="0">
    <w:p w:rsidR="002312D7" w:rsidRDefault="002312D7" w:rsidP="003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Parl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B" w:rsidRPr="008127DD" w:rsidRDefault="008127DD" w:rsidP="00BA2A51">
    <w:pPr>
      <w:pStyle w:val="PMPeu"/>
      <w:ind w:right="-1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5A1865" wp14:editId="3366E396">
              <wp:simplePos x="0" y="0"/>
              <wp:positionH relativeFrom="column">
                <wp:posOffset>5485765</wp:posOffset>
              </wp:positionH>
              <wp:positionV relativeFrom="paragraph">
                <wp:posOffset>-60325</wp:posOffset>
              </wp:positionV>
              <wp:extent cx="334645" cy="28384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43" name="Forma automàt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28384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DD" w:rsidRPr="00757E1D" w:rsidRDefault="008127DD" w:rsidP="008127DD">
                          <w:pPr>
                            <w:pStyle w:val="PMPeuNum"/>
                          </w:pPr>
                          <w:r w:rsidRPr="00757E1D">
                            <w:fldChar w:fldCharType="begin"/>
                          </w:r>
                          <w:r w:rsidRPr="00757E1D">
                            <w:instrText>PAGE    \* MERGEFORMAT</w:instrText>
                          </w:r>
                          <w:r w:rsidRPr="00757E1D">
                            <w:fldChar w:fldCharType="separate"/>
                          </w:r>
                          <w:r w:rsidR="002312D7">
                            <w:rPr>
                              <w:noProof/>
                            </w:rPr>
                            <w:t>1</w:t>
                          </w:r>
                          <w:r w:rsidRPr="00757E1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automàtica 2" o:spid="_x0000_s1026" type="#_x0000_t176" style="position:absolute;left:0;text-align:left;margin-left:431.95pt;margin-top:-4.75pt;width:26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" filled="f" fillcolor="#5c83b4" stroked="f" strokecolor="#737373">
              <v:textbox>
                <w:txbxContent>
                  <w:p w:rsidR="008127DD" w:rsidRPr="00757E1D" w:rsidRDefault="008127DD" w:rsidP="008127DD">
                    <w:pPr>
                      <w:pStyle w:val="PMPeuNum"/>
                    </w:pPr>
                    <w:r w:rsidRPr="00757E1D">
                      <w:fldChar w:fldCharType="begin"/>
                    </w:r>
                    <w:r w:rsidRPr="00757E1D">
                      <w:instrText>PAGE    \* MERGEFORMAT</w:instrText>
                    </w:r>
                    <w:r w:rsidRPr="00757E1D">
                      <w:fldChar w:fldCharType="separate"/>
                    </w:r>
                    <w:r w:rsidR="002312D7">
                      <w:rPr>
                        <w:noProof/>
                      </w:rPr>
                      <w:t>1</w:t>
                    </w:r>
                    <w:r w:rsidRPr="00757E1D"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97A46">
      <w:rPr>
        <w:noProof/>
        <w:lang w:val="ca-ES" w:eastAsia="ca-ES"/>
      </w:rPr>
      <w:t xml:space="preserve"> </w:t>
    </w:r>
    <w:r w:rsidR="00FA67B7" w:rsidRPr="00FA67B7">
      <w:rPr>
        <w:noProof/>
        <w:lang w:val="ca-ES"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D7" w:rsidRDefault="002312D7" w:rsidP="003F6A8B">
      <w:r>
        <w:separator/>
      </w:r>
    </w:p>
  </w:footnote>
  <w:footnote w:type="continuationSeparator" w:id="0">
    <w:p w:rsidR="002312D7" w:rsidRDefault="002312D7" w:rsidP="003F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B" w:rsidRDefault="00EB5EE9" w:rsidP="003F6A8B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6102DAC7" wp14:editId="458FFDFA">
          <wp:extent cx="2438400" cy="591312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A8B" w:rsidRDefault="003F6A8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78C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EEE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0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082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4EB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65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08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1A1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61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F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7"/>
    <w:rsid w:val="000277AC"/>
    <w:rsid w:val="00054CDA"/>
    <w:rsid w:val="00084935"/>
    <w:rsid w:val="0008514F"/>
    <w:rsid w:val="00090957"/>
    <w:rsid w:val="000E3614"/>
    <w:rsid w:val="001031EF"/>
    <w:rsid w:val="0012342E"/>
    <w:rsid w:val="001314E6"/>
    <w:rsid w:val="001348B2"/>
    <w:rsid w:val="00140622"/>
    <w:rsid w:val="00142F48"/>
    <w:rsid w:val="00153F99"/>
    <w:rsid w:val="00166C6B"/>
    <w:rsid w:val="001840B2"/>
    <w:rsid w:val="00193A57"/>
    <w:rsid w:val="001A7AA8"/>
    <w:rsid w:val="001B723B"/>
    <w:rsid w:val="001B7B8D"/>
    <w:rsid w:val="001B7F90"/>
    <w:rsid w:val="001C3AC0"/>
    <w:rsid w:val="001C5642"/>
    <w:rsid w:val="001C7AD9"/>
    <w:rsid w:val="001E1A13"/>
    <w:rsid w:val="001F450A"/>
    <w:rsid w:val="002312D7"/>
    <w:rsid w:val="0024544E"/>
    <w:rsid w:val="002601FE"/>
    <w:rsid w:val="002B195F"/>
    <w:rsid w:val="002C3030"/>
    <w:rsid w:val="002C5178"/>
    <w:rsid w:val="002E609F"/>
    <w:rsid w:val="003106D8"/>
    <w:rsid w:val="003348C3"/>
    <w:rsid w:val="00350642"/>
    <w:rsid w:val="003562F6"/>
    <w:rsid w:val="00364880"/>
    <w:rsid w:val="00395F4E"/>
    <w:rsid w:val="003A02B8"/>
    <w:rsid w:val="003A6E9F"/>
    <w:rsid w:val="003C5B30"/>
    <w:rsid w:val="003D536D"/>
    <w:rsid w:val="003F6A8B"/>
    <w:rsid w:val="00407E7D"/>
    <w:rsid w:val="00436123"/>
    <w:rsid w:val="00444749"/>
    <w:rsid w:val="00452530"/>
    <w:rsid w:val="004808C5"/>
    <w:rsid w:val="004B69D1"/>
    <w:rsid w:val="004E3454"/>
    <w:rsid w:val="004F20FC"/>
    <w:rsid w:val="004F5418"/>
    <w:rsid w:val="00530D22"/>
    <w:rsid w:val="00530EB6"/>
    <w:rsid w:val="0054437C"/>
    <w:rsid w:val="0054716E"/>
    <w:rsid w:val="00564E4C"/>
    <w:rsid w:val="00567C3F"/>
    <w:rsid w:val="005773FF"/>
    <w:rsid w:val="0058083C"/>
    <w:rsid w:val="00597B94"/>
    <w:rsid w:val="005A2992"/>
    <w:rsid w:val="005C53B7"/>
    <w:rsid w:val="005C7E25"/>
    <w:rsid w:val="005D518B"/>
    <w:rsid w:val="005F0CB6"/>
    <w:rsid w:val="00615008"/>
    <w:rsid w:val="00616796"/>
    <w:rsid w:val="00640084"/>
    <w:rsid w:val="00654371"/>
    <w:rsid w:val="0068275F"/>
    <w:rsid w:val="006F031C"/>
    <w:rsid w:val="0070455B"/>
    <w:rsid w:val="007249A8"/>
    <w:rsid w:val="00725E16"/>
    <w:rsid w:val="007474D0"/>
    <w:rsid w:val="00757E1D"/>
    <w:rsid w:val="007C337B"/>
    <w:rsid w:val="007D54A8"/>
    <w:rsid w:val="008111FA"/>
    <w:rsid w:val="008127DD"/>
    <w:rsid w:val="008154E2"/>
    <w:rsid w:val="008177CC"/>
    <w:rsid w:val="008408E2"/>
    <w:rsid w:val="008424CE"/>
    <w:rsid w:val="00861326"/>
    <w:rsid w:val="00873260"/>
    <w:rsid w:val="00886C0D"/>
    <w:rsid w:val="00897168"/>
    <w:rsid w:val="008D33E2"/>
    <w:rsid w:val="00957C32"/>
    <w:rsid w:val="00980484"/>
    <w:rsid w:val="009944FD"/>
    <w:rsid w:val="00995BF3"/>
    <w:rsid w:val="009A047E"/>
    <w:rsid w:val="00A117CA"/>
    <w:rsid w:val="00A21F9E"/>
    <w:rsid w:val="00A24469"/>
    <w:rsid w:val="00A62FA2"/>
    <w:rsid w:val="00A673FC"/>
    <w:rsid w:val="00A76EA6"/>
    <w:rsid w:val="00A77D71"/>
    <w:rsid w:val="00A816D3"/>
    <w:rsid w:val="00A90478"/>
    <w:rsid w:val="00AA36DF"/>
    <w:rsid w:val="00AB7528"/>
    <w:rsid w:val="00AC3731"/>
    <w:rsid w:val="00B44097"/>
    <w:rsid w:val="00B5746C"/>
    <w:rsid w:val="00B92EBD"/>
    <w:rsid w:val="00B97A46"/>
    <w:rsid w:val="00BA2A51"/>
    <w:rsid w:val="00BB65BB"/>
    <w:rsid w:val="00BC71A9"/>
    <w:rsid w:val="00BE387C"/>
    <w:rsid w:val="00BF63E8"/>
    <w:rsid w:val="00C01A97"/>
    <w:rsid w:val="00C16FD4"/>
    <w:rsid w:val="00C31037"/>
    <w:rsid w:val="00C367CF"/>
    <w:rsid w:val="00C630D3"/>
    <w:rsid w:val="00C7160A"/>
    <w:rsid w:val="00D34D09"/>
    <w:rsid w:val="00D76F0D"/>
    <w:rsid w:val="00D77F04"/>
    <w:rsid w:val="00DA3A5F"/>
    <w:rsid w:val="00DC4373"/>
    <w:rsid w:val="00DF29A9"/>
    <w:rsid w:val="00E0535B"/>
    <w:rsid w:val="00E117A4"/>
    <w:rsid w:val="00E31137"/>
    <w:rsid w:val="00E5296B"/>
    <w:rsid w:val="00E67FC7"/>
    <w:rsid w:val="00E92C5D"/>
    <w:rsid w:val="00EA79BD"/>
    <w:rsid w:val="00EB3A80"/>
    <w:rsid w:val="00EB5EE9"/>
    <w:rsid w:val="00EC56D0"/>
    <w:rsid w:val="00ED3508"/>
    <w:rsid w:val="00F0018C"/>
    <w:rsid w:val="00F57637"/>
    <w:rsid w:val="00F85B8D"/>
    <w:rsid w:val="00FA67B7"/>
    <w:rsid w:val="00FB539F"/>
    <w:rsid w:val="00FC25E0"/>
    <w:rsid w:val="00FD333C"/>
    <w:rsid w:val="00FD4869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6A8B"/>
    <w:rPr>
      <w:rFonts w:ascii="Times-Parlament" w:hAnsi="Times-Parlament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Ttolprincipal">
    <w:name w:val="N/ Títol principal"/>
    <w:basedOn w:val="NNormal"/>
    <w:qFormat/>
    <w:rsid w:val="00EB3A80"/>
    <w:pPr>
      <w:keepNext/>
      <w:spacing w:before="400"/>
    </w:pPr>
    <w:rPr>
      <w:smallCaps/>
    </w:rPr>
  </w:style>
  <w:style w:type="paragraph" w:customStyle="1" w:styleId="NTtolsecundari">
    <w:name w:val="N/ Títol secundari"/>
    <w:basedOn w:val="NNormal"/>
    <w:qFormat/>
    <w:rsid w:val="00EB3A80"/>
    <w:pPr>
      <w:keepNext/>
      <w:keepLines/>
      <w:spacing w:before="200"/>
    </w:pPr>
    <w:rPr>
      <w:smallCaps/>
    </w:rPr>
  </w:style>
  <w:style w:type="paragraph" w:customStyle="1" w:styleId="ERegistre">
    <w:name w:val="E/ Registre"/>
    <w:basedOn w:val="Normal"/>
    <w:next w:val="Normal"/>
    <w:uiPriority w:val="99"/>
    <w:qFormat/>
    <w:rsid w:val="008D33E2"/>
    <w:pPr>
      <w:widowControl w:val="0"/>
      <w:tabs>
        <w:tab w:val="left" w:pos="907"/>
      </w:tabs>
      <w:autoSpaceDE w:val="0"/>
      <w:autoSpaceDN w:val="0"/>
      <w:adjustRightInd w:val="0"/>
      <w:spacing w:before="640" w:after="240" w:line="240" w:lineRule="atLeast"/>
      <w:textAlignment w:val="center"/>
    </w:pPr>
    <w:rPr>
      <w:rFonts w:ascii="Arial" w:hAnsi="Arial" w:cs="Times-Parlament"/>
      <w:color w:val="000000"/>
      <w:sz w:val="19"/>
      <w:szCs w:val="20"/>
    </w:rPr>
  </w:style>
  <w:style w:type="paragraph" w:customStyle="1" w:styleId="NNormal">
    <w:name w:val="N/ Normal"/>
    <w:rsid w:val="006F031C"/>
    <w:pPr>
      <w:spacing w:after="100" w:line="220" w:lineRule="atLeast"/>
      <w:jc w:val="both"/>
    </w:pPr>
    <w:rPr>
      <w:rFonts w:eastAsiaTheme="minorEastAsia"/>
      <w:color w:val="000000"/>
      <w:lang w:eastAsia="es-ES"/>
    </w:rPr>
  </w:style>
  <w:style w:type="paragraph" w:customStyle="1" w:styleId="CTtolexpedient">
    <w:name w:val="C/ Títol expedient"/>
    <w:basedOn w:val="NNormal"/>
    <w:next w:val="NNormal"/>
    <w:rsid w:val="000E3614"/>
    <w:pPr>
      <w:spacing w:before="227" w:after="0" w:line="200" w:lineRule="atLeast"/>
      <w:ind w:left="907"/>
    </w:pPr>
    <w:rPr>
      <w:rFonts w:ascii="Arial" w:hAnsi="Arial"/>
      <w:b/>
      <w:color w:val="auto"/>
      <w:sz w:val="19"/>
    </w:rPr>
  </w:style>
  <w:style w:type="paragraph" w:customStyle="1" w:styleId="CTramnm">
    <w:name w:val="C/ Tram. núm.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dades">
    <w:name w:val="C/ Tràmit dades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">
    <w:name w:val="C/ Tràmit"/>
    <w:basedOn w:val="NNormal"/>
    <w:next w:val="NNormal"/>
    <w:rsid w:val="00142F48"/>
    <w:pPr>
      <w:spacing w:after="0" w:line="200" w:lineRule="atLeast"/>
      <w:ind w:left="907"/>
    </w:pPr>
    <w:rPr>
      <w:rFonts w:ascii="Arial" w:hAnsi="Arial"/>
      <w:color w:val="auto"/>
      <w:sz w:val="19"/>
    </w:rPr>
  </w:style>
  <w:style w:type="paragraph" w:customStyle="1" w:styleId="PData">
    <w:name w:val="P/ Data"/>
    <w:basedOn w:val="NNormal"/>
    <w:next w:val="NNormal"/>
    <w:rsid w:val="003F6A8B"/>
    <w:pPr>
      <w:keepNext/>
      <w:spacing w:before="100"/>
      <w:jc w:val="left"/>
    </w:pPr>
    <w:rPr>
      <w:color w:val="auto"/>
    </w:rPr>
  </w:style>
  <w:style w:type="paragraph" w:customStyle="1" w:styleId="PSignatura">
    <w:name w:val="P/ Signatura"/>
    <w:basedOn w:val="NNormal"/>
    <w:next w:val="NNormal"/>
    <w:rsid w:val="00142F48"/>
    <w:pPr>
      <w:tabs>
        <w:tab w:val="left" w:pos="5103"/>
      </w:tabs>
      <w:spacing w:after="0" w:line="300" w:lineRule="atLeast"/>
      <w:jc w:val="left"/>
    </w:pPr>
    <w:rPr>
      <w:color w:val="auto"/>
    </w:rPr>
  </w:style>
  <w:style w:type="character" w:customStyle="1" w:styleId="ECNormal">
    <w:name w:val="EC Normal"/>
    <w:uiPriority w:val="99"/>
    <w:rsid w:val="00530EB6"/>
    <w:rPr>
      <w:w w:val="100"/>
      <w:lang w:val="ca-ES" w:eastAsia="x-none"/>
    </w:rPr>
  </w:style>
  <w:style w:type="character" w:customStyle="1" w:styleId="ECCursiva">
    <w:name w:val="EC Cursiva"/>
    <w:basedOn w:val="Tipusdelletraperdefectedelpargraf"/>
    <w:uiPriority w:val="99"/>
    <w:rsid w:val="00530EB6"/>
    <w:rPr>
      <w:rFonts w:cs="Times New Roman"/>
      <w:i/>
    </w:rPr>
  </w:style>
  <w:style w:type="paragraph" w:styleId="Capalera">
    <w:name w:val="header"/>
    <w:basedOn w:val="Normal"/>
    <w:link w:val="Capalera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6A8B"/>
    <w:rPr>
      <w:rFonts w:ascii="Times-Parlament" w:hAnsi="Times-Parlament"/>
      <w:szCs w:val="24"/>
    </w:rPr>
  </w:style>
  <w:style w:type="paragraph" w:styleId="Peu">
    <w:name w:val="footer"/>
    <w:basedOn w:val="Normal"/>
    <w:link w:val="Peu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F6A8B"/>
    <w:rPr>
      <w:rFonts w:ascii="Times-Parlament" w:hAnsi="Times-Parlament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6A8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6A8B"/>
    <w:rPr>
      <w:rFonts w:ascii="Tahoma" w:hAnsi="Tahoma" w:cs="Tahoma"/>
      <w:sz w:val="16"/>
      <w:szCs w:val="16"/>
    </w:rPr>
  </w:style>
  <w:style w:type="paragraph" w:customStyle="1" w:styleId="PMPeu">
    <w:name w:val="PM/ Peu"/>
    <w:qFormat/>
    <w:rsid w:val="008127DD"/>
    <w:pPr>
      <w:ind w:right="566"/>
      <w:jc w:val="right"/>
    </w:pPr>
    <w:rPr>
      <w:rFonts w:ascii="Arial" w:eastAsiaTheme="minorEastAsia" w:hAnsi="Arial"/>
      <w:color w:val="000000"/>
      <w:sz w:val="16"/>
      <w:lang w:val="es-ES" w:eastAsia="es-ES"/>
    </w:rPr>
  </w:style>
  <w:style w:type="paragraph" w:customStyle="1" w:styleId="PMPeuNum">
    <w:name w:val="PM/ Peu Num"/>
    <w:qFormat/>
    <w:rsid w:val="008127DD"/>
    <w:pPr>
      <w:pBdr>
        <w:left w:val="single" w:sz="4" w:space="4" w:color="auto"/>
      </w:pBdr>
      <w:jc w:val="right"/>
    </w:pPr>
    <w:rPr>
      <w:rFonts w:ascii="Arial" w:eastAsiaTheme="minorEastAsia" w:hAnsi="Arial"/>
      <w:color w:val="000000"/>
      <w:sz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6A8B"/>
    <w:rPr>
      <w:rFonts w:ascii="Times-Parlament" w:hAnsi="Times-Parlament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Ttolprincipal">
    <w:name w:val="N/ Títol principal"/>
    <w:basedOn w:val="NNormal"/>
    <w:qFormat/>
    <w:rsid w:val="00EB3A80"/>
    <w:pPr>
      <w:keepNext/>
      <w:spacing w:before="400"/>
    </w:pPr>
    <w:rPr>
      <w:smallCaps/>
    </w:rPr>
  </w:style>
  <w:style w:type="paragraph" w:customStyle="1" w:styleId="NTtolsecundari">
    <w:name w:val="N/ Títol secundari"/>
    <w:basedOn w:val="NNormal"/>
    <w:qFormat/>
    <w:rsid w:val="00EB3A80"/>
    <w:pPr>
      <w:keepNext/>
      <w:keepLines/>
      <w:spacing w:before="200"/>
    </w:pPr>
    <w:rPr>
      <w:smallCaps/>
    </w:rPr>
  </w:style>
  <w:style w:type="paragraph" w:customStyle="1" w:styleId="ERegistre">
    <w:name w:val="E/ Registre"/>
    <w:basedOn w:val="Normal"/>
    <w:next w:val="Normal"/>
    <w:uiPriority w:val="99"/>
    <w:qFormat/>
    <w:rsid w:val="008D33E2"/>
    <w:pPr>
      <w:widowControl w:val="0"/>
      <w:tabs>
        <w:tab w:val="left" w:pos="907"/>
      </w:tabs>
      <w:autoSpaceDE w:val="0"/>
      <w:autoSpaceDN w:val="0"/>
      <w:adjustRightInd w:val="0"/>
      <w:spacing w:before="640" w:after="240" w:line="240" w:lineRule="atLeast"/>
      <w:textAlignment w:val="center"/>
    </w:pPr>
    <w:rPr>
      <w:rFonts w:ascii="Arial" w:hAnsi="Arial" w:cs="Times-Parlament"/>
      <w:color w:val="000000"/>
      <w:sz w:val="19"/>
      <w:szCs w:val="20"/>
    </w:rPr>
  </w:style>
  <w:style w:type="paragraph" w:customStyle="1" w:styleId="NNormal">
    <w:name w:val="N/ Normal"/>
    <w:rsid w:val="006F031C"/>
    <w:pPr>
      <w:spacing w:after="100" w:line="220" w:lineRule="atLeast"/>
      <w:jc w:val="both"/>
    </w:pPr>
    <w:rPr>
      <w:rFonts w:eastAsiaTheme="minorEastAsia"/>
      <w:color w:val="000000"/>
      <w:lang w:eastAsia="es-ES"/>
    </w:rPr>
  </w:style>
  <w:style w:type="paragraph" w:customStyle="1" w:styleId="CTtolexpedient">
    <w:name w:val="C/ Títol expedient"/>
    <w:basedOn w:val="NNormal"/>
    <w:next w:val="NNormal"/>
    <w:rsid w:val="000E3614"/>
    <w:pPr>
      <w:spacing w:before="227" w:after="0" w:line="200" w:lineRule="atLeast"/>
      <w:ind w:left="907"/>
    </w:pPr>
    <w:rPr>
      <w:rFonts w:ascii="Arial" w:hAnsi="Arial"/>
      <w:b/>
      <w:color w:val="auto"/>
      <w:sz w:val="19"/>
    </w:rPr>
  </w:style>
  <w:style w:type="paragraph" w:customStyle="1" w:styleId="CTramnm">
    <w:name w:val="C/ Tram. núm.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dades">
    <w:name w:val="C/ Tràmit dades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">
    <w:name w:val="C/ Tràmit"/>
    <w:basedOn w:val="NNormal"/>
    <w:next w:val="NNormal"/>
    <w:rsid w:val="00142F48"/>
    <w:pPr>
      <w:spacing w:after="0" w:line="200" w:lineRule="atLeast"/>
      <w:ind w:left="907"/>
    </w:pPr>
    <w:rPr>
      <w:rFonts w:ascii="Arial" w:hAnsi="Arial"/>
      <w:color w:val="auto"/>
      <w:sz w:val="19"/>
    </w:rPr>
  </w:style>
  <w:style w:type="paragraph" w:customStyle="1" w:styleId="PData">
    <w:name w:val="P/ Data"/>
    <w:basedOn w:val="NNormal"/>
    <w:next w:val="NNormal"/>
    <w:rsid w:val="003F6A8B"/>
    <w:pPr>
      <w:keepNext/>
      <w:spacing w:before="100"/>
      <w:jc w:val="left"/>
    </w:pPr>
    <w:rPr>
      <w:color w:val="auto"/>
    </w:rPr>
  </w:style>
  <w:style w:type="paragraph" w:customStyle="1" w:styleId="PSignatura">
    <w:name w:val="P/ Signatura"/>
    <w:basedOn w:val="NNormal"/>
    <w:next w:val="NNormal"/>
    <w:rsid w:val="00142F48"/>
    <w:pPr>
      <w:tabs>
        <w:tab w:val="left" w:pos="5103"/>
      </w:tabs>
      <w:spacing w:after="0" w:line="300" w:lineRule="atLeast"/>
      <w:jc w:val="left"/>
    </w:pPr>
    <w:rPr>
      <w:color w:val="auto"/>
    </w:rPr>
  </w:style>
  <w:style w:type="character" w:customStyle="1" w:styleId="ECNormal">
    <w:name w:val="EC Normal"/>
    <w:uiPriority w:val="99"/>
    <w:rsid w:val="00530EB6"/>
    <w:rPr>
      <w:w w:val="100"/>
      <w:lang w:val="ca-ES" w:eastAsia="x-none"/>
    </w:rPr>
  </w:style>
  <w:style w:type="character" w:customStyle="1" w:styleId="ECCursiva">
    <w:name w:val="EC Cursiva"/>
    <w:basedOn w:val="Tipusdelletraperdefectedelpargraf"/>
    <w:uiPriority w:val="99"/>
    <w:rsid w:val="00530EB6"/>
    <w:rPr>
      <w:rFonts w:cs="Times New Roman"/>
      <w:i/>
    </w:rPr>
  </w:style>
  <w:style w:type="paragraph" w:styleId="Capalera">
    <w:name w:val="header"/>
    <w:basedOn w:val="Normal"/>
    <w:link w:val="Capalera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6A8B"/>
    <w:rPr>
      <w:rFonts w:ascii="Times-Parlament" w:hAnsi="Times-Parlament"/>
      <w:szCs w:val="24"/>
    </w:rPr>
  </w:style>
  <w:style w:type="paragraph" w:styleId="Peu">
    <w:name w:val="footer"/>
    <w:basedOn w:val="Normal"/>
    <w:link w:val="Peu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F6A8B"/>
    <w:rPr>
      <w:rFonts w:ascii="Times-Parlament" w:hAnsi="Times-Parlament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6A8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6A8B"/>
    <w:rPr>
      <w:rFonts w:ascii="Tahoma" w:hAnsi="Tahoma" w:cs="Tahoma"/>
      <w:sz w:val="16"/>
      <w:szCs w:val="16"/>
    </w:rPr>
  </w:style>
  <w:style w:type="paragraph" w:customStyle="1" w:styleId="PMPeu">
    <w:name w:val="PM/ Peu"/>
    <w:qFormat/>
    <w:rsid w:val="008127DD"/>
    <w:pPr>
      <w:ind w:right="566"/>
      <w:jc w:val="right"/>
    </w:pPr>
    <w:rPr>
      <w:rFonts w:ascii="Arial" w:eastAsiaTheme="minorEastAsia" w:hAnsi="Arial"/>
      <w:color w:val="000000"/>
      <w:sz w:val="16"/>
      <w:lang w:val="es-ES" w:eastAsia="es-ES"/>
    </w:rPr>
  </w:style>
  <w:style w:type="paragraph" w:customStyle="1" w:styleId="PMPeuNum">
    <w:name w:val="PM/ Peu Num"/>
    <w:qFormat/>
    <w:rsid w:val="008127DD"/>
    <w:pPr>
      <w:pBdr>
        <w:left w:val="single" w:sz="4" w:space="4" w:color="auto"/>
      </w:pBdr>
      <w:jc w:val="right"/>
    </w:pPr>
    <w:rPr>
      <w:rFonts w:ascii="Arial" w:eastAsiaTheme="minorEastAsia" w:hAnsi="Arial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es%20Word\TextosAprovat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4A31-0459-4508-823D-0C7BD804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TextosAprovats.dotx</Template>
  <TotalTime>0</TotalTime>
  <Pages>3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Parlament de Catalunya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Marcet Martinez, Francesc</dc:creator>
  <cp:lastModifiedBy>Marcet Martinez, Francesc</cp:lastModifiedBy>
  <cp:revision>2</cp:revision>
  <dcterms:created xsi:type="dcterms:W3CDTF">2014-12-01T12:52:00Z</dcterms:created>
  <dcterms:modified xsi:type="dcterms:W3CDTF">2014-12-01T12:52:00Z</dcterms:modified>
</cp:coreProperties>
</file>